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FC" w:rsidRPr="00E426FC" w:rsidRDefault="00E426FC" w:rsidP="00E426FC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26FC">
        <w:rPr>
          <w:rFonts w:ascii="Tahoma" w:eastAsia="Times New Roman" w:hAnsi="Tahoma" w:cs="Tahoma"/>
          <w:b/>
          <w:bCs/>
          <w:color w:val="333333"/>
          <w:sz w:val="28"/>
          <w:lang w:eastAsia="ru-RU"/>
        </w:rPr>
        <w:t>Перечень объектов для проведения практических занятий</w:t>
      </w:r>
    </w:p>
    <w:p w:rsidR="00E426FC" w:rsidRPr="00E426FC" w:rsidRDefault="00E426FC" w:rsidP="00E426FC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26F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855" w:type="dxa"/>
        <w:tblInd w:w="-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5"/>
        <w:gridCol w:w="6910"/>
      </w:tblGrid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ahoma" w:eastAsia="Times New Roman" w:hAnsi="Tahoma" w:cs="Tahoma"/>
                <w:b/>
                <w:bCs/>
                <w:color w:val="3C0000"/>
                <w:sz w:val="24"/>
                <w:szCs w:val="24"/>
                <w:lang w:eastAsia="ru-RU"/>
              </w:rPr>
              <w:t>Назначение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ahoma" w:eastAsia="Times New Roman" w:hAnsi="Tahoma" w:cs="Tahoma"/>
                <w:b/>
                <w:bCs/>
                <w:color w:val="3C0000"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ahoma" w:eastAsia="Times New Roman" w:hAnsi="Tahoma" w:cs="Tahoma"/>
                <w:b/>
                <w:bCs/>
                <w:color w:val="3C0000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Комплекты демонстрационного оборудования для проведения лабораторных работ.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Для проведения практических работ имеются 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лаборантская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, приборы, реактивы, аудиовизуальные средства, печатные объекты. Автоматизированное место учителя (проектор, компьютер, экран).  Комплект демонстрационного оборудования для проведения лабораторных работ.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Укомплектован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Автоматизированное место учителя (проектор,  компьютер, интерактивная доска).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Комплект демонстрационного оборудования для проведения лабораторных работ: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—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ускорения, вращательного движения, радиоактивности.</w:t>
            </w:r>
            <w:proofErr w:type="gramEnd"/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технологии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(девочки)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Объект предназначен для проведения практических занятий с 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 5-8 классов по приобретению навыков приготовления пищи. 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b/>
                <w:i/>
                <w:color w:val="3C0000"/>
                <w:sz w:val="24"/>
                <w:szCs w:val="24"/>
                <w:lang w:eastAsia="ru-RU"/>
              </w:rPr>
              <w:t xml:space="preserve"> </w:t>
            </w: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столами и стульями.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Объект предназначен для проведения практических работ </w:t>
            </w: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lastRenderedPageBreak/>
              <w:t xml:space="preserve">формирующих представления о составляющих  </w:t>
            </w:r>
            <w:proofErr w:type="spell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, о современном производстве и о распространенных в нем технологиях.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lastRenderedPageBreak/>
              <w:t>Кабинет технологии</w:t>
            </w:r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(мальчики)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Практические занятия по предмету «Технология» для мальчиков. Объект оборудован солярными, слесарными станками, учебным оборудованием и инструментами.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информатики (2)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Предназначены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Кабинеты оснащены, автоматизированными рабочими местами учител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я(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ПК) и обучающихся(ПК).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 xml:space="preserve">Обеспечивает участников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E426FC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E426FC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 xml:space="preserve"> рабочими местами  пользователей, стеллажами, автоматизированным рабочим местом библиотекаря, рабочими местами для пользователей. Фонд библиотеки укомплектован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Объект предназначен для проведения тренировок, спортивных, соревнований, внеурочной деятельности.</w:t>
            </w:r>
          </w:p>
        </w:tc>
      </w:tr>
      <w:tr w:rsidR="00E426FC" w:rsidRPr="00E426FC" w:rsidTr="00E426FC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26FC" w:rsidRPr="00E426FC" w:rsidRDefault="00E426FC" w:rsidP="00E426FC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Объекты спортивной площадки (стадион, волейбольная площадка, баскетбольная площадка, сектор для прыжков в длину, игровая площадка) предназначены для проведения тренировок, спортивных, соревнований, индивидуальных занятий школьников.</w:t>
            </w:r>
          </w:p>
        </w:tc>
      </w:tr>
    </w:tbl>
    <w:p w:rsidR="00C95A22" w:rsidRDefault="00C95A22"/>
    <w:sectPr w:rsidR="00C95A22" w:rsidSect="00C9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26FC"/>
    <w:rsid w:val="000D0A3E"/>
    <w:rsid w:val="001D0572"/>
    <w:rsid w:val="006244DD"/>
    <w:rsid w:val="00657EBD"/>
    <w:rsid w:val="008976F4"/>
    <w:rsid w:val="00C95A22"/>
    <w:rsid w:val="00E4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6FC"/>
    <w:rPr>
      <w:b/>
      <w:bCs/>
    </w:rPr>
  </w:style>
  <w:style w:type="paragraph" w:styleId="a4">
    <w:name w:val="Normal (Web)"/>
    <w:basedOn w:val="a"/>
    <w:uiPriority w:val="99"/>
    <w:semiHidden/>
    <w:unhideWhenUsed/>
    <w:rsid w:val="00E4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2017-10-30T19:59:00Z</dcterms:created>
  <dcterms:modified xsi:type="dcterms:W3CDTF">2017-10-30T20:19:00Z</dcterms:modified>
</cp:coreProperties>
</file>